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663" w:rsidRPr="00EF3663" w:rsidRDefault="00EF3663" w:rsidP="00EF3663">
      <w:pPr>
        <w:shd w:val="clear" w:color="auto" w:fill="FFFFFF"/>
        <w:spacing w:before="150" w:after="15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333333"/>
          <w:sz w:val="23"/>
          <w:szCs w:val="23"/>
          <w:lang w:eastAsia="pt-BR"/>
        </w:rPr>
      </w:pPr>
      <w:r w:rsidRPr="00EF3663">
        <w:rPr>
          <w:rFonts w:ascii="Calibri" w:eastAsia="Times New Roman" w:hAnsi="Calibri" w:cs="Times New Roman"/>
          <w:b/>
          <w:bCs/>
          <w:color w:val="333333"/>
          <w:sz w:val="23"/>
          <w:szCs w:val="23"/>
          <w:lang w:eastAsia="pt-BR"/>
        </w:rPr>
        <w:t>LEI COMPLEMENTAR Nº 24/2014</w:t>
      </w:r>
    </w:p>
    <w:p w:rsidR="00EF3663" w:rsidRPr="00EF3663" w:rsidRDefault="00EF3663" w:rsidP="00EF3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3663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</w:p>
    <w:p w:rsidR="00EF3663" w:rsidRPr="00EF3663" w:rsidRDefault="00EF3663" w:rsidP="00EF3663">
      <w:pPr>
        <w:shd w:val="clear" w:color="auto" w:fill="FFFFFF"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bCs/>
          <w:color w:val="333333"/>
          <w:kern w:val="36"/>
          <w:sz w:val="23"/>
          <w:szCs w:val="23"/>
          <w:lang w:eastAsia="pt-BR"/>
        </w:rPr>
      </w:pPr>
      <w:r w:rsidRPr="00EF3663">
        <w:rPr>
          <w:rFonts w:ascii="Calibri" w:eastAsia="Times New Roman" w:hAnsi="Calibri" w:cs="Times New Roman"/>
          <w:b/>
          <w:bCs/>
          <w:color w:val="333333"/>
          <w:kern w:val="36"/>
          <w:sz w:val="23"/>
          <w:szCs w:val="23"/>
          <w:lang w:eastAsia="pt-BR"/>
        </w:rPr>
        <w:t>ALTERA A REDAÇÃO DO DISPOSTO NO ART. 1º, § 1º, I, DA LEI COMPLEMENTAR Nº </w:t>
      </w:r>
      <w:hyperlink r:id="rId5" w:history="1">
        <w:r w:rsidRPr="00EF3663">
          <w:rPr>
            <w:rFonts w:ascii="Calibri" w:eastAsia="Times New Roman" w:hAnsi="Calibri" w:cs="Times New Roman"/>
            <w:b/>
            <w:bCs/>
            <w:color w:val="CE0000"/>
            <w:kern w:val="36"/>
            <w:sz w:val="23"/>
            <w:szCs w:val="23"/>
            <w:u w:val="single"/>
            <w:lang w:eastAsia="pt-BR"/>
          </w:rPr>
          <w:t>23</w:t>
        </w:r>
      </w:hyperlink>
      <w:r w:rsidRPr="00EF3663">
        <w:rPr>
          <w:rFonts w:ascii="Calibri" w:eastAsia="Times New Roman" w:hAnsi="Calibri" w:cs="Times New Roman"/>
          <w:b/>
          <w:bCs/>
          <w:color w:val="333333"/>
          <w:kern w:val="36"/>
          <w:sz w:val="23"/>
          <w:szCs w:val="23"/>
          <w:lang w:eastAsia="pt-BR"/>
        </w:rPr>
        <w:t>/13.</w:t>
      </w:r>
    </w:p>
    <w:p w:rsidR="0070063B" w:rsidRDefault="00EF3663" w:rsidP="00EF3663">
      <w:r w:rsidRPr="00EF3663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Pr="00EF3663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VALÉRIO TOMAZI, Prefeito Municipal de Tijucas, no uso das atribuições conferidas pela Lei Orgânica do Município de Tijucas, faz saber a todos que a Câmara de Vereadores aprovou e ele sancionou esta LEI COMPLEMENTAR:</w:t>
      </w:r>
      <w:r w:rsidRPr="00EF3663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Pr="00EF3663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bookmarkStart w:id="0" w:name="artigo_1"/>
      <w:r w:rsidRPr="00EF3663">
        <w:rPr>
          <w:rFonts w:ascii="Calibri" w:eastAsia="Times New Roman" w:hAnsi="Calibri" w:cs="Times New Roman"/>
          <w:b/>
          <w:bCs/>
          <w:color w:val="FFFFFF"/>
          <w:sz w:val="18"/>
          <w:szCs w:val="18"/>
          <w:shd w:val="clear" w:color="auto" w:fill="B94A48"/>
          <w:lang w:eastAsia="pt-BR"/>
        </w:rPr>
        <w:t>Art. 1º</w:t>
      </w:r>
      <w:bookmarkEnd w:id="0"/>
      <w:r w:rsidRPr="00EF3663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 Fica alterada a redação do disposto no art. 1º, § 1º, I, da Lei Complementar nº </w:t>
      </w:r>
      <w:hyperlink r:id="rId6" w:history="1">
        <w:r w:rsidRPr="00EF3663">
          <w:rPr>
            <w:rFonts w:ascii="Calibri" w:eastAsia="Times New Roman" w:hAnsi="Calibri" w:cs="Times New Roman"/>
            <w:color w:val="CE0000"/>
            <w:sz w:val="23"/>
            <w:szCs w:val="23"/>
            <w:u w:val="single"/>
            <w:shd w:val="clear" w:color="auto" w:fill="FFFFFF"/>
            <w:lang w:eastAsia="pt-BR"/>
          </w:rPr>
          <w:t>23</w:t>
        </w:r>
      </w:hyperlink>
      <w:r w:rsidRPr="00EF3663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/13, que passa a ter esta redação:</w:t>
      </w:r>
      <w:r w:rsidRPr="00EF3663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Pr="00EF3663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proofErr w:type="gramStart"/>
      <w:r w:rsidRPr="00EF3663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"</w:t>
      </w:r>
      <w:proofErr w:type="gramEnd"/>
      <w:r w:rsidRPr="00EF3663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I - dez (10) anos depois de constituídos pelo último detentor do domínio útil ou mediante a soma do seu tempo à de antecessores e desde que o requerente não possua débito com a Administração Municipal;"</w:t>
      </w:r>
      <w:r w:rsidRPr="00EF3663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Pr="00EF3663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bookmarkStart w:id="1" w:name="artigo_2"/>
      <w:r w:rsidRPr="00EF3663">
        <w:rPr>
          <w:rFonts w:ascii="Calibri" w:eastAsia="Times New Roman" w:hAnsi="Calibri" w:cs="Times New Roman"/>
          <w:b/>
          <w:bCs/>
          <w:color w:val="FFFFFF"/>
          <w:sz w:val="18"/>
          <w:szCs w:val="18"/>
          <w:shd w:val="clear" w:color="auto" w:fill="B94A48"/>
          <w:lang w:eastAsia="pt-BR"/>
        </w:rPr>
        <w:t>Art. 2º</w:t>
      </w:r>
      <w:bookmarkEnd w:id="1"/>
      <w:r w:rsidRPr="00EF3663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 Esta Lei entra em vigor na data de sua publicação, revogadas as disposições em contrário.</w:t>
      </w:r>
      <w:r w:rsidRPr="00EF3663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Pr="00EF3663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Pr="00EF3663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Gabinete do Prefeito Municipal de Tijucas 01 de Abril de 2014.</w:t>
      </w:r>
      <w:r w:rsidRPr="00EF3663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Pr="00EF3663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Pr="00EF3663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VALÉRIO TOMAZI</w:t>
      </w:r>
      <w:r w:rsidRPr="00EF3663">
        <w:rPr>
          <w:rFonts w:ascii="Calibri" w:eastAsia="Times New Roman" w:hAnsi="Calibri" w:cs="Times New Roman"/>
          <w:color w:val="333333"/>
          <w:sz w:val="23"/>
          <w:szCs w:val="23"/>
          <w:lang w:eastAsia="pt-BR"/>
        </w:rPr>
        <w:br/>
      </w:r>
      <w:r w:rsidRPr="00EF3663">
        <w:rPr>
          <w:rFonts w:ascii="Calibri" w:eastAsia="Times New Roman" w:hAnsi="Calibri" w:cs="Times New Roman"/>
          <w:color w:val="333333"/>
          <w:sz w:val="23"/>
          <w:szCs w:val="23"/>
          <w:shd w:val="clear" w:color="auto" w:fill="FFFFFF"/>
          <w:lang w:eastAsia="pt-BR"/>
        </w:rPr>
        <w:t>Prefeito Municipal</w:t>
      </w:r>
      <w:bookmarkStart w:id="2" w:name="_GoBack"/>
      <w:bookmarkEnd w:id="2"/>
    </w:p>
    <w:sectPr w:rsidR="0070063B" w:rsidSect="00EF3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663"/>
    <w:rsid w:val="0070063B"/>
    <w:rsid w:val="00E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F3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F36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366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F366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EF3663"/>
  </w:style>
  <w:style w:type="character" w:styleId="Hyperlink">
    <w:name w:val="Hyperlink"/>
    <w:basedOn w:val="Fontepargpadro"/>
    <w:uiPriority w:val="99"/>
    <w:semiHidden/>
    <w:unhideWhenUsed/>
    <w:rsid w:val="00EF3663"/>
    <w:rPr>
      <w:color w:val="0000FF"/>
      <w:u w:val="single"/>
    </w:rPr>
  </w:style>
  <w:style w:type="character" w:customStyle="1" w:styleId="badge">
    <w:name w:val="badge"/>
    <w:basedOn w:val="Fontepargpadro"/>
    <w:rsid w:val="00EF36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F3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F36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366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F366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EF3663"/>
  </w:style>
  <w:style w:type="character" w:styleId="Hyperlink">
    <w:name w:val="Hyperlink"/>
    <w:basedOn w:val="Fontepargpadro"/>
    <w:uiPriority w:val="99"/>
    <w:semiHidden/>
    <w:unhideWhenUsed/>
    <w:rsid w:val="00EF3663"/>
    <w:rPr>
      <w:color w:val="0000FF"/>
      <w:u w:val="single"/>
    </w:rPr>
  </w:style>
  <w:style w:type="character" w:customStyle="1" w:styleId="badge">
    <w:name w:val="badge"/>
    <w:basedOn w:val="Fontepargpadro"/>
    <w:rsid w:val="00EF3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eismunicipais.com.br/a/sc/t/tijucas/lei-complementar/2013/2/23/lei-complementar-n-23-2013-autoriza-o-poder-executivo-municipal-por-intermedio-do-procurador-geral-do-municipio-a-outorgar-escritura-publica-de-extincao-de-aforamento-enfiteuse-ou-emprazamento-de-imoveis-do-patrimonial-municipal.html" TargetMode="External"/><Relationship Id="rId5" Type="http://schemas.openxmlformats.org/officeDocument/2006/relationships/hyperlink" Target="https://www.leismunicipais.com.br/a/sc/t/tijucas/lei-complementar/2013/2/23/lei-complementar-n-23-2013-autoriza-o-poder-executivo-municipal-por-intermedio-do-procurador-geral-do-municipio-a-outorgar-escritura-publica-de-extincao-de-aforamento-enfiteuse-ou-emprazamento-de-imoveis-do-patrimonial-municipa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Convidado</cp:lastModifiedBy>
  <cp:revision>1</cp:revision>
  <dcterms:created xsi:type="dcterms:W3CDTF">2014-05-06T19:39:00Z</dcterms:created>
  <dcterms:modified xsi:type="dcterms:W3CDTF">2014-05-06T19:39:00Z</dcterms:modified>
</cp:coreProperties>
</file>